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Sample Statements for Orphan Works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tl w:val="0"/>
        </w:rPr>
        <w:t xml:space="preserve">Digital Stewardship Curriculum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i w:val="1"/>
          <w:sz w:val="28"/>
          <w:szCs w:val="28"/>
          <w:rtl w:val="0"/>
        </w:rPr>
        <w:t xml:space="preserve">Prepared by Dr. Jane Anderson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Statement on Materials of Unknown Provenance OR Statement on Orphan Works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Owing to disrupted histories around the documentation of these collections, we may not always have the full information about the copyright holder of works in our collection. We want to be able to share these valuable materials responsibly as they are important connectors to our history and cultural heritage. Our [institution] policy is to make these materials available to the extent possible. If you have more information about an item, or can identify a copyright holder, please contact us [archive, etc].</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Specific Item Statement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If you are the copyright holder of this work, or know who is, please contact us [at:…] so we can organize relevant permissions.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13">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14">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15">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16">
    <w:pPr>
      <w:tabs>
        <w:tab w:val="center" w:pos="4680"/>
        <w:tab w:val="right" w:pos="9360"/>
      </w:tabs>
      <w:spacing w:line="240" w:lineRule="auto"/>
      <w:jc w:val="center"/>
      <w:rPr>
        <w:color w:val="cccccc"/>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p w:rsidR="00000000" w:rsidDel="00000000" w:rsidP="00000000" w:rsidRDefault="00000000" w:rsidRPr="00000000" w14:paraId="00000017">
    <w:pPr>
      <w:tabs>
        <w:tab w:val="center" w:pos="4680"/>
        <w:tab w:val="right" w:pos="9360"/>
      </w:tabs>
      <w:spacing w:line="240" w:lineRule="auto"/>
      <w:jc w:val="center"/>
      <w:rPr>
        <w:color w:val="cccccc"/>
      </w:rPr>
    </w:pPr>
    <w:r w:rsidDel="00000000" w:rsidR="00000000" w:rsidRPr="00000000">
      <w:rPr>
        <w:rtl w:val="0"/>
      </w:rPr>
    </w:r>
  </w:p>
  <w:p w:rsidR="00000000" w:rsidDel="00000000" w:rsidP="00000000" w:rsidRDefault="00000000" w:rsidRPr="00000000" w14:paraId="00000018">
    <w:pPr>
      <w:tabs>
        <w:tab w:val="center" w:pos="4680"/>
        <w:tab w:val="right" w:pos="9360"/>
      </w:tabs>
      <w:spacing w:line="240" w:lineRule="auto"/>
      <w:jc w:val="center"/>
      <w:rPr>
        <w:color w:val="cccccc"/>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